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2E" w:rsidRPr="00AE39E1" w:rsidRDefault="0070542E" w:rsidP="00C409C1">
      <w:pPr>
        <w:widowControl w:val="0"/>
        <w:autoSpaceDE w:val="0"/>
        <w:autoSpaceDN w:val="0"/>
        <w:adjustRightInd w:val="0"/>
        <w:spacing w:after="260"/>
        <w:jc w:val="center"/>
        <w:rPr>
          <w:rFonts w:cs="Tahoma"/>
          <w:b/>
          <w:u w:val="single"/>
        </w:rPr>
      </w:pPr>
      <w:r w:rsidRPr="00AE39E1">
        <w:rPr>
          <w:rFonts w:cs="Tahoma"/>
          <w:b/>
          <w:u w:val="single"/>
        </w:rPr>
        <w:t>EHRC Programme Summary: Appendix 1: Attendance Analysis</w:t>
      </w:r>
    </w:p>
    <w:p w:rsidR="0070542E" w:rsidRPr="00AE39E1" w:rsidRDefault="00E25637" w:rsidP="00E7765E">
      <w:pPr>
        <w:widowControl w:val="0"/>
        <w:autoSpaceDE w:val="0"/>
        <w:autoSpaceDN w:val="0"/>
        <w:adjustRightInd w:val="0"/>
        <w:spacing w:after="260"/>
        <w:rPr>
          <w:rFonts w:cs="Tahoma"/>
          <w:b/>
          <w:u w:val="single"/>
        </w:rPr>
      </w:pPr>
      <w:r>
        <w:rPr>
          <w:noProof/>
          <w:lang w:val="en-GB" w:eastAsia="en-GB"/>
        </w:rPr>
        <w:drawing>
          <wp:anchor distT="5460" distB="1251" distL="126492" distR="119634" simplePos="0" relativeHeight="251658240" behindDoc="0" locked="0" layoutInCell="1" allowOverlap="1">
            <wp:simplePos x="0" y="0"/>
            <wp:positionH relativeFrom="column">
              <wp:posOffset>12192</wp:posOffset>
            </wp:positionH>
            <wp:positionV relativeFrom="paragraph">
              <wp:posOffset>347725</wp:posOffset>
            </wp:positionV>
            <wp:extent cx="4180840" cy="2736215"/>
            <wp:effectExtent l="0" t="0" r="8255" b="1905"/>
            <wp:wrapTight wrapText="bothSides">
              <wp:wrapPolygon edited="0">
                <wp:start x="123" y="0"/>
                <wp:lineTo x="0" y="564"/>
                <wp:lineTo x="0" y="21055"/>
                <wp:lineTo x="123" y="21431"/>
                <wp:lineTo x="21407" y="21431"/>
                <wp:lineTo x="21530" y="21055"/>
                <wp:lineTo x="21530" y="564"/>
                <wp:lineTo x="21407" y="0"/>
                <wp:lineTo x="123" y="0"/>
              </wp:wrapPolygon>
            </wp:wrapTight>
            <wp:docPr id="1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42E" w:rsidRPr="00AE39E1">
        <w:rPr>
          <w:rFonts w:cs="Tahoma"/>
          <w:b/>
          <w:u w:val="single"/>
        </w:rPr>
        <w:t> 1. Total Invitees by Sector</w:t>
      </w:r>
      <w:r w:rsidR="0070542E" w:rsidRPr="00AE39E1">
        <w:rPr>
          <w:rStyle w:val="FootnoteReference"/>
          <w:rFonts w:cs="Tahoma"/>
          <w:b/>
          <w:u w:val="single"/>
        </w:rPr>
        <w:footnoteReference w:id="1"/>
      </w:r>
    </w:p>
    <w:p w:rsidR="0070542E" w:rsidRPr="00AE39E1" w:rsidRDefault="0070542E" w:rsidP="00E7765E">
      <w:pPr>
        <w:widowControl w:val="0"/>
        <w:autoSpaceDE w:val="0"/>
        <w:autoSpaceDN w:val="0"/>
        <w:adjustRightInd w:val="0"/>
        <w:spacing w:after="260"/>
        <w:rPr>
          <w:rFonts w:cs="Tahoma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3. Total Attendees by Sector</w:t>
      </w:r>
      <w:r w:rsidRPr="00AE39E1">
        <w:rPr>
          <w:rStyle w:val="FootnoteReference"/>
          <w:rFonts w:cs="Tahoma"/>
          <w:b/>
          <w:bCs/>
          <w:u w:val="single"/>
        </w:rPr>
        <w:footnoteReference w:id="2"/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bookmarkStart w:id="0" w:name="_GoBack"/>
      <w:bookmarkEnd w:id="0"/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226685" cy="3169285"/>
            <wp:effectExtent l="0" t="0" r="12065" b="12065"/>
            <wp:docPr id="1" name="C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3. Total Invitees by Religion or Belief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noProof/>
          <w:lang w:val="en-GB" w:eastAsia="en-GB"/>
        </w:rPr>
        <w:drawing>
          <wp:anchor distT="6096" distB="0" distL="126985" distR="118793" simplePos="0" relativeHeight="251659264" behindDoc="0" locked="0" layoutInCell="1" allowOverlap="1">
            <wp:simplePos x="0" y="0"/>
            <wp:positionH relativeFrom="column">
              <wp:posOffset>12685</wp:posOffset>
            </wp:positionH>
            <wp:positionV relativeFrom="paragraph">
              <wp:posOffset>27051</wp:posOffset>
            </wp:positionV>
            <wp:extent cx="4371340" cy="2374900"/>
            <wp:effectExtent l="0" t="0" r="8255" b="5080"/>
            <wp:wrapTight wrapText="bothSides">
              <wp:wrapPolygon edited="0">
                <wp:start x="118" y="0"/>
                <wp:lineTo x="0" y="650"/>
                <wp:lineTo x="0" y="21008"/>
                <wp:lineTo x="118" y="21441"/>
                <wp:lineTo x="21416" y="21441"/>
                <wp:lineTo x="21533" y="21008"/>
                <wp:lineTo x="21533" y="650"/>
                <wp:lineTo x="21416" y="0"/>
                <wp:lineTo x="118" y="0"/>
              </wp:wrapPolygon>
            </wp:wrapTight>
            <wp:docPr id="1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Default="0070542E" w:rsidP="00E7765E">
      <w:pPr>
        <w:rPr>
          <w:rFonts w:cs="Tahoma"/>
          <w:b/>
          <w:bCs/>
          <w:u w:val="single"/>
        </w:rPr>
      </w:pPr>
    </w:p>
    <w:p w:rsidR="0070542E" w:rsidRDefault="0070542E" w:rsidP="00E7765E">
      <w:pPr>
        <w:rPr>
          <w:rFonts w:cs="Tahoma"/>
          <w:b/>
          <w:bCs/>
          <w:u w:val="single"/>
        </w:rPr>
      </w:pPr>
    </w:p>
    <w:p w:rsidR="0070542E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 xml:space="preserve">4. 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4. Total Attendees by Religion or Belief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441315" cy="3196590"/>
            <wp:effectExtent l="0" t="0" r="6985" b="3810"/>
            <wp:docPr id="2" name="C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br w:type="page"/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5. Total Attendance at Dialogues Only by Religion or Belief</w:t>
      </w:r>
      <w:r w:rsidRPr="00AE39E1">
        <w:rPr>
          <w:rStyle w:val="FootnoteReference"/>
          <w:rFonts w:cs="Tahoma"/>
          <w:b/>
          <w:bCs/>
          <w:u w:val="single"/>
        </w:rPr>
        <w:footnoteReference w:id="3"/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267325" cy="3019425"/>
            <wp:effectExtent l="0" t="0" r="9525" b="9525"/>
            <wp:docPr id="3" name="C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6. Total Attendance at Dialogues Only by Sector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236210" cy="3181985"/>
            <wp:effectExtent l="0" t="0" r="2540" b="18415"/>
            <wp:docPr id="4" name="C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Dialogue 1: Religion &amp; the Public Sphere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7. Attendees by Sector</w:t>
      </w: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179695" cy="2708275"/>
            <wp:effectExtent l="0" t="0" r="1905" b="15875"/>
            <wp:docPr id="5" name="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8. Attendees by Religion or Belief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179695" cy="3230880"/>
            <wp:effectExtent l="0" t="0" r="1905" b="7620"/>
            <wp:docPr id="6" name="C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br w:type="page"/>
      </w:r>
      <w:r w:rsidRPr="00AE39E1">
        <w:rPr>
          <w:rFonts w:cs="Tahoma"/>
          <w:b/>
          <w:bCs/>
          <w:u w:val="single"/>
        </w:rPr>
        <w:lastRenderedPageBreak/>
        <w:t>Dialogue 2: Religion &amp; the Media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9. Attendees by Sector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D46C10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4970780" cy="2708275"/>
            <wp:effectExtent l="0" t="0" r="1270" b="15875"/>
            <wp:docPr id="7" name="C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10. Attendees by Religion or Belief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4970780" cy="2708275"/>
            <wp:effectExtent l="0" t="0" r="1270" b="15875"/>
            <wp:docPr id="8" name="C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br w:type="page"/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Dialogue 3: Religious Diversity in the Workplace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11. Attendees by Sector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D46C10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189220" cy="2708275"/>
            <wp:effectExtent l="0" t="0" r="11430" b="15875"/>
            <wp:docPr id="9" name="C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12. Attendees by Religion or Belief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189220" cy="2708275"/>
            <wp:effectExtent l="0" t="0" r="11430" b="15875"/>
            <wp:docPr id="10" name="C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br w:type="page"/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Dialogue 4: Balancing Competing Interests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13. Attendees by Sector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D46C10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4970780" cy="2708275"/>
            <wp:effectExtent l="0" t="0" r="1270" b="15875"/>
            <wp:docPr id="11" name="C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14. Attendees by Religion or Belief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4970780" cy="2708275"/>
            <wp:effectExtent l="0" t="0" r="1270" b="15875"/>
            <wp:docPr id="12" name="C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br w:type="page"/>
        <w:t>Summative Conference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15. Attendees by Sector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D46C10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189220" cy="2708275"/>
            <wp:effectExtent l="0" t="0" r="11430" b="15875"/>
            <wp:docPr id="13" name="C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70542E" w:rsidP="00D46C10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16. Attendees by Religion or Belief</w:t>
      </w:r>
    </w:p>
    <w:p w:rsidR="0070542E" w:rsidRPr="00AE39E1" w:rsidRDefault="0070542E" w:rsidP="00D46C10">
      <w:pPr>
        <w:rPr>
          <w:rFonts w:cs="Tahoma"/>
          <w:b/>
          <w:bCs/>
          <w:u w:val="single"/>
        </w:rPr>
      </w:pPr>
    </w:p>
    <w:p w:rsidR="0070542E" w:rsidRPr="00AE39E1" w:rsidRDefault="00E25637" w:rsidP="00E7765E">
      <w:pPr>
        <w:rPr>
          <w:rFonts w:cs="Tahoma"/>
          <w:b/>
          <w:bCs/>
          <w:u w:val="single"/>
        </w:rPr>
      </w:pPr>
      <w:r>
        <w:rPr>
          <w:rFonts w:cs="Tahoma"/>
          <w:b/>
          <w:noProof/>
          <w:u w:val="single"/>
          <w:lang w:val="en-GB" w:eastAsia="en-GB"/>
        </w:rPr>
        <w:drawing>
          <wp:inline distT="0" distB="0" distL="0" distR="0">
            <wp:extent cx="5189220" cy="2708275"/>
            <wp:effectExtent l="0" t="0" r="11430" b="15875"/>
            <wp:docPr id="14" name="C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  <w:b/>
          <w:bCs/>
          <w:u w:val="single"/>
        </w:rPr>
      </w:pPr>
      <w:r w:rsidRPr="00AE39E1">
        <w:rPr>
          <w:rFonts w:cs="Tahoma"/>
          <w:b/>
          <w:bCs/>
          <w:u w:val="single"/>
        </w:rPr>
        <w:t>Analysis by Organisations</w:t>
      </w:r>
    </w:p>
    <w:p w:rsidR="0070542E" w:rsidRPr="00AE39E1" w:rsidRDefault="0070542E" w:rsidP="00E7765E">
      <w:pPr>
        <w:rPr>
          <w:rFonts w:cs="Tahoma"/>
          <w:b/>
          <w:bCs/>
          <w:u w:val="single"/>
        </w:rPr>
      </w:pPr>
    </w:p>
    <w:p w:rsidR="0070542E" w:rsidRPr="00AE39E1" w:rsidRDefault="0070542E" w:rsidP="00E7765E">
      <w:pPr>
        <w:rPr>
          <w:rFonts w:cs="Tahoma"/>
        </w:rPr>
      </w:pPr>
      <w:r w:rsidRPr="00AE39E1">
        <w:rPr>
          <w:rFonts w:cs="Tahoma"/>
          <w:bCs/>
        </w:rPr>
        <w:t xml:space="preserve">When analysed by ‘organisation’, the total number of organizations invited to all of the events is 130. Of those, 75 were represented at one or more of the events. </w:t>
      </w:r>
    </w:p>
    <w:p w:rsidR="0070542E" w:rsidRPr="00AE39E1" w:rsidRDefault="0070542E" w:rsidP="00E7765E">
      <w:pPr>
        <w:rPr>
          <w:rFonts w:cs="Tahoma"/>
        </w:rPr>
      </w:pPr>
    </w:p>
    <w:p w:rsidR="0070542E" w:rsidRPr="00AE39E1" w:rsidRDefault="0070542E" w:rsidP="00E7765E">
      <w:pPr>
        <w:rPr>
          <w:rFonts w:cs="Tahoma"/>
        </w:rPr>
      </w:pPr>
      <w:r>
        <w:rPr>
          <w:rFonts w:cs="Tahoma"/>
          <w:b/>
          <w:u w:val="single"/>
        </w:rPr>
        <w:t>17. Organisations A</w:t>
      </w:r>
      <w:r w:rsidRPr="00AE39E1">
        <w:rPr>
          <w:rFonts w:cs="Tahoma"/>
          <w:b/>
          <w:u w:val="single"/>
        </w:rPr>
        <w:t>ttended by Sector</w:t>
      </w:r>
    </w:p>
    <w:p w:rsidR="0070542E" w:rsidRPr="00AE39E1" w:rsidRDefault="00E25637" w:rsidP="00E7765E">
      <w:pPr>
        <w:rPr>
          <w:rFonts w:cs="Tahoma"/>
        </w:rPr>
      </w:pPr>
      <w:r>
        <w:rPr>
          <w:rFonts w:cs="Tahoma"/>
          <w:noProof/>
          <w:lang w:val="en-GB" w:eastAsia="en-GB"/>
        </w:rPr>
        <w:drawing>
          <wp:inline distT="0" distB="0" distL="0" distR="0">
            <wp:extent cx="5486400" cy="4000500"/>
            <wp:effectExtent l="0" t="0" r="0" b="0"/>
            <wp:docPr id="15" name="C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25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2E" w:rsidRPr="00AE39E1" w:rsidRDefault="0070542E" w:rsidP="00E7765E">
      <w:pPr>
        <w:rPr>
          <w:rFonts w:cs="Tahoma"/>
        </w:rPr>
      </w:pPr>
      <w:r>
        <w:rPr>
          <w:rFonts w:cs="Tahoma"/>
          <w:b/>
          <w:u w:val="single"/>
        </w:rPr>
        <w:t xml:space="preserve">18. </w:t>
      </w:r>
      <w:r w:rsidRPr="00AE39E1">
        <w:rPr>
          <w:rFonts w:cs="Tahoma"/>
          <w:b/>
          <w:u w:val="single"/>
        </w:rPr>
        <w:t>Organisation</w:t>
      </w:r>
      <w:r>
        <w:rPr>
          <w:rFonts w:cs="Tahoma"/>
          <w:b/>
          <w:u w:val="single"/>
        </w:rPr>
        <w:t>s A</w:t>
      </w:r>
      <w:r w:rsidRPr="00AE39E1">
        <w:rPr>
          <w:rFonts w:cs="Tahoma"/>
          <w:b/>
          <w:u w:val="single"/>
        </w:rPr>
        <w:t>ttended by Religion or Belief</w:t>
      </w:r>
    </w:p>
    <w:p w:rsidR="0070542E" w:rsidRPr="00AE39E1" w:rsidRDefault="00E25637" w:rsidP="00E7765E">
      <w:r>
        <w:rPr>
          <w:rFonts w:cs="Tahoma"/>
          <w:noProof/>
          <w:lang w:val="en-GB" w:eastAsia="en-GB"/>
        </w:rPr>
        <w:drawing>
          <wp:inline distT="0" distB="0" distL="0" distR="0">
            <wp:extent cx="5467985" cy="3917315"/>
            <wp:effectExtent l="0" t="0" r="18415" b="6985"/>
            <wp:docPr id="16" name="C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70542E" w:rsidRPr="00AE39E1" w:rsidSect="00C409C1">
      <w:footerReference w:type="even" r:id="rId24"/>
      <w:footerReference w:type="default" r:id="rId25"/>
      <w:pgSz w:w="11900" w:h="16840"/>
      <w:pgMar w:top="1077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2E" w:rsidRDefault="0070542E" w:rsidP="00035B1B">
      <w:r>
        <w:separator/>
      </w:r>
    </w:p>
  </w:endnote>
  <w:endnote w:type="continuationSeparator" w:id="0">
    <w:p w:rsidR="0070542E" w:rsidRDefault="0070542E" w:rsidP="0003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2E" w:rsidRDefault="0070542E" w:rsidP="00AD24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42E" w:rsidRDefault="007054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2E" w:rsidRDefault="0070542E" w:rsidP="00AD24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637">
      <w:rPr>
        <w:rStyle w:val="PageNumber"/>
        <w:noProof/>
      </w:rPr>
      <w:t>1</w:t>
    </w:r>
    <w:r>
      <w:rPr>
        <w:rStyle w:val="PageNumber"/>
      </w:rPr>
      <w:fldChar w:fldCharType="end"/>
    </w:r>
  </w:p>
  <w:p w:rsidR="0070542E" w:rsidRDefault="007054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2E" w:rsidRDefault="0070542E" w:rsidP="00035B1B">
      <w:r>
        <w:separator/>
      </w:r>
    </w:p>
  </w:footnote>
  <w:footnote w:type="continuationSeparator" w:id="0">
    <w:p w:rsidR="0070542E" w:rsidRDefault="0070542E" w:rsidP="00035B1B">
      <w:r>
        <w:continuationSeparator/>
      </w:r>
    </w:p>
  </w:footnote>
  <w:footnote w:id="1">
    <w:p w:rsidR="0070542E" w:rsidRDefault="0070542E">
      <w:pPr>
        <w:pStyle w:val="FootnoteText"/>
      </w:pPr>
      <w:r>
        <w:rPr>
          <w:rStyle w:val="FootnoteReference"/>
        </w:rPr>
        <w:footnoteRef/>
      </w:r>
      <w:r>
        <w:t xml:space="preserve"> Charts 1 and 2 include all those people who were invites to all of the events.</w:t>
      </w:r>
    </w:p>
  </w:footnote>
  <w:footnote w:id="2">
    <w:p w:rsidR="0070542E" w:rsidRDefault="0070542E">
      <w:pPr>
        <w:pStyle w:val="FootnoteText"/>
      </w:pPr>
      <w:r>
        <w:rPr>
          <w:rStyle w:val="FootnoteReference"/>
        </w:rPr>
        <w:footnoteRef/>
      </w:r>
      <w:r>
        <w:t xml:space="preserve"> Charts 3 and 4 include all people who attended all of the events. These totals are cumulative; here people have attended more than one event they have been counted once for each event they attended.</w:t>
      </w:r>
    </w:p>
  </w:footnote>
  <w:footnote w:id="3">
    <w:p w:rsidR="0070542E" w:rsidRDefault="0070542E">
      <w:pPr>
        <w:pStyle w:val="FootnoteText"/>
      </w:pPr>
      <w:r>
        <w:rPr>
          <w:rStyle w:val="FootnoteReference"/>
        </w:rPr>
        <w:footnoteRef/>
      </w:r>
      <w:r>
        <w:t xml:space="preserve"> Charts 6 and 7 show the total attendance at the Dialogue events only. They do not include attendance at the Summative Conference. The results are cumulative; where prople attended more than one Dialogue, they have been counted for each Dialogue they attended.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5E"/>
    <w:rsid w:val="00035B1B"/>
    <w:rsid w:val="000A4605"/>
    <w:rsid w:val="000F484D"/>
    <w:rsid w:val="00181152"/>
    <w:rsid w:val="00183634"/>
    <w:rsid w:val="001F21F5"/>
    <w:rsid w:val="0024196F"/>
    <w:rsid w:val="00370472"/>
    <w:rsid w:val="00417125"/>
    <w:rsid w:val="004325D3"/>
    <w:rsid w:val="004811AF"/>
    <w:rsid w:val="004B462C"/>
    <w:rsid w:val="00574820"/>
    <w:rsid w:val="00577820"/>
    <w:rsid w:val="00606547"/>
    <w:rsid w:val="00643D30"/>
    <w:rsid w:val="006525D6"/>
    <w:rsid w:val="006A0361"/>
    <w:rsid w:val="006B31BB"/>
    <w:rsid w:val="0070542E"/>
    <w:rsid w:val="007462D5"/>
    <w:rsid w:val="00806F43"/>
    <w:rsid w:val="00A12517"/>
    <w:rsid w:val="00A3270A"/>
    <w:rsid w:val="00AA26F9"/>
    <w:rsid w:val="00AD2487"/>
    <w:rsid w:val="00AE39E1"/>
    <w:rsid w:val="00B90543"/>
    <w:rsid w:val="00C409C1"/>
    <w:rsid w:val="00C6539B"/>
    <w:rsid w:val="00D46C10"/>
    <w:rsid w:val="00E25637"/>
    <w:rsid w:val="00E70BB2"/>
    <w:rsid w:val="00E7765E"/>
    <w:rsid w:val="00ED4B25"/>
    <w:rsid w:val="00FF76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38BA22D5-C9D7-4A7C-B21B-EDEE2C1A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2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62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C409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9C1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C409C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AD248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AD248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5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6.xml"/><Relationship Id="rId10" Type="http://schemas.openxmlformats.org/officeDocument/2006/relationships/image" Target="media/image1.png"/><Relationship Id="rId19" Type="http://schemas.openxmlformats.org/officeDocument/2006/relationships/chart" Target="charts/chart13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8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Attendance%20analysis:Invitees%20analysis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Attendance%20analysis:Orgs%20lis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Attendance%20analysis:charts%20in%20progres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Attendance%20analysis:Invitees%20analysis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Attendance%20analysis:charts%20in%20progres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Attendance%20analysis:Dialogues%20only%20attendanc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research:Dropbox:FCSU:EHRC:Write%20Up/Analysis:Totals%20attendance/invite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Total Invitees by Sector</a:t>
            </a:r>
          </a:p>
        </c:rich>
      </c:tx>
      <c:layout/>
      <c:overlay val="1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Religion or belief Groups (62)
33%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18036487770317"/>
                  <c:y val="-0.146717099161680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Trade Unions (19)
10%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Government (10)
6%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Public Sector Bodies (4)
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3149082975057599"/>
                  <c:y val="-0.128074594024476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Higher Education (38)
20%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Professional Bodies (6)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Think Tanks (7)
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Equality Bodies (22)
12%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Charities (6)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Businesses/bodies (13)
7%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Sheet1!$A$20:$A$29</c:f>
              <c:strCache>
                <c:ptCount val="10"/>
                <c:pt idx="0">
                  <c:v>Religion or belief Groups</c:v>
                </c:pt>
                <c:pt idx="1">
                  <c:v>Trade Unions</c:v>
                </c:pt>
                <c:pt idx="2">
                  <c:v>Government</c:v>
                </c:pt>
                <c:pt idx="3">
                  <c:v>Public Sector Bodies</c:v>
                </c:pt>
                <c:pt idx="4">
                  <c:v>Higher Education</c:v>
                </c:pt>
                <c:pt idx="5">
                  <c:v>Professional Bodies</c:v>
                </c:pt>
                <c:pt idx="6">
                  <c:v>Think Tanks</c:v>
                </c:pt>
                <c:pt idx="7">
                  <c:v>Equality Bodies</c:v>
                </c:pt>
                <c:pt idx="8">
                  <c:v>Charities</c:v>
                </c:pt>
                <c:pt idx="9">
                  <c:v>Businesses/bodies</c:v>
                </c:pt>
              </c:strCache>
            </c:strRef>
          </c:cat>
          <c:val>
            <c:numRef>
              <c:f>Sheet1!$B$20:$B$29</c:f>
              <c:numCache>
                <c:formatCode>General</c:formatCode>
                <c:ptCount val="10"/>
                <c:pt idx="0">
                  <c:v>62</c:v>
                </c:pt>
                <c:pt idx="1">
                  <c:v>19</c:v>
                </c:pt>
                <c:pt idx="2">
                  <c:v>10</c:v>
                </c:pt>
                <c:pt idx="3">
                  <c:v>4</c:v>
                </c:pt>
                <c:pt idx="4">
                  <c:v>38</c:v>
                </c:pt>
                <c:pt idx="5">
                  <c:v>6</c:v>
                </c:pt>
                <c:pt idx="6">
                  <c:v>7</c:v>
                </c:pt>
                <c:pt idx="7">
                  <c:v>22</c:v>
                </c:pt>
                <c:pt idx="8">
                  <c:v>6</c:v>
                </c:pt>
                <c:pt idx="9">
                  <c:v>13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'Dia3'!$A$20:$A$30</c:f>
              <c:strCache>
                <c:ptCount val="11"/>
                <c:pt idx="0">
                  <c:v>Religion or belief Groups</c:v>
                </c:pt>
                <c:pt idx="1">
                  <c:v>Trade Unions</c:v>
                </c:pt>
                <c:pt idx="2">
                  <c:v>Government</c:v>
                </c:pt>
                <c:pt idx="3">
                  <c:v>Public Sector Bodies</c:v>
                </c:pt>
                <c:pt idx="4">
                  <c:v>Higher Education</c:v>
                </c:pt>
                <c:pt idx="5">
                  <c:v>Professional Bodies</c:v>
                </c:pt>
                <c:pt idx="6">
                  <c:v>Think Tanks</c:v>
                </c:pt>
                <c:pt idx="7">
                  <c:v>Equality Bodies</c:v>
                </c:pt>
                <c:pt idx="8">
                  <c:v>Charities</c:v>
                </c:pt>
                <c:pt idx="9">
                  <c:v>Businesses/bodies</c:v>
                </c:pt>
                <c:pt idx="10">
                  <c:v>TOTAL</c:v>
                </c:pt>
              </c:strCache>
            </c:strRef>
          </c:cat>
          <c:val>
            <c:numRef>
              <c:f>'Dia3'!$B$20:$B$30</c:f>
              <c:numCache>
                <c:formatCode>General</c:formatCode>
                <c:ptCount val="11"/>
                <c:pt idx="0">
                  <c:v>14</c:v>
                </c:pt>
                <c:pt idx="1">
                  <c:v>2</c:v>
                </c:pt>
                <c:pt idx="2">
                  <c:v>5</c:v>
                </c:pt>
                <c:pt idx="3">
                  <c:v>2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8</c:v>
                </c:pt>
                <c:pt idx="8">
                  <c:v>1</c:v>
                </c:pt>
                <c:pt idx="10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3550984"/>
        <c:axId val="380452888"/>
      </c:barChart>
      <c:catAx>
        <c:axId val="37355098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380452888"/>
        <c:crosses val="autoZero"/>
        <c:auto val="1"/>
        <c:lblAlgn val="ctr"/>
        <c:lblOffset val="100"/>
        <c:noMultiLvlLbl val="1"/>
      </c:catAx>
      <c:valAx>
        <c:axId val="38045288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373550984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'Dia3'!$A$1:$A$13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'Dia3'!$B$1:$B$13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3551376"/>
        <c:axId val="373551768"/>
      </c:barChart>
      <c:catAx>
        <c:axId val="373551376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373551768"/>
        <c:crosses val="autoZero"/>
        <c:auto val="1"/>
        <c:lblAlgn val="ctr"/>
        <c:lblOffset val="100"/>
        <c:noMultiLvlLbl val="1"/>
      </c:catAx>
      <c:valAx>
        <c:axId val="37355176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373551376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 4'!$A$20:$A$30</c:f>
              <c:strCache>
                <c:ptCount val="11"/>
                <c:pt idx="0">
                  <c:v>Religion or belief Groups</c:v>
                </c:pt>
                <c:pt idx="1">
                  <c:v>Trade Unions</c:v>
                </c:pt>
                <c:pt idx="2">
                  <c:v>Government</c:v>
                </c:pt>
                <c:pt idx="3">
                  <c:v>Public Sector Bodies</c:v>
                </c:pt>
                <c:pt idx="4">
                  <c:v>Higher Education</c:v>
                </c:pt>
                <c:pt idx="5">
                  <c:v>Professional Bodies</c:v>
                </c:pt>
                <c:pt idx="6">
                  <c:v>Think Tanks</c:v>
                </c:pt>
                <c:pt idx="7">
                  <c:v>Equality Bodies</c:v>
                </c:pt>
                <c:pt idx="8">
                  <c:v>Charities</c:v>
                </c:pt>
                <c:pt idx="9">
                  <c:v>Businesses/bodies</c:v>
                </c:pt>
                <c:pt idx="10">
                  <c:v>TOTAL</c:v>
                </c:pt>
              </c:strCache>
            </c:strRef>
          </c:cat>
          <c:val>
            <c:numRef>
              <c:f>'Dia 4'!$B$20:$B$30</c:f>
              <c:numCache>
                <c:formatCode>General</c:formatCode>
                <c:ptCount val="11"/>
                <c:pt idx="0">
                  <c:v>16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6</c:v>
                </c:pt>
                <c:pt idx="6">
                  <c:v>2</c:v>
                </c:pt>
                <c:pt idx="7">
                  <c:v>10</c:v>
                </c:pt>
                <c:pt idx="8">
                  <c:v>4</c:v>
                </c:pt>
                <c:pt idx="10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0715704"/>
        <c:axId val="380716096"/>
      </c:barChart>
      <c:catAx>
        <c:axId val="38071570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380716096"/>
        <c:crosses val="autoZero"/>
        <c:auto val="1"/>
        <c:lblAlgn val="ctr"/>
        <c:lblOffset val="100"/>
        <c:noMultiLvlLbl val="1"/>
      </c:catAx>
      <c:valAx>
        <c:axId val="380716096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380715704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 4'!$A$1:$A$13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'Dia 4'!$B$1:$B$13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1575424"/>
        <c:axId val="381575816"/>
      </c:barChart>
      <c:catAx>
        <c:axId val="38157542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381575816"/>
        <c:crosses val="autoZero"/>
        <c:auto val="1"/>
        <c:lblAlgn val="ctr"/>
        <c:lblOffset val="100"/>
        <c:noMultiLvlLbl val="1"/>
      </c:catAx>
      <c:valAx>
        <c:axId val="381575816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381575424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Conf!$A$20:$A$30</c:f>
              <c:strCache>
                <c:ptCount val="11"/>
                <c:pt idx="0">
                  <c:v>Religion or belief Groups</c:v>
                </c:pt>
                <c:pt idx="1">
                  <c:v>Trade Unions</c:v>
                </c:pt>
                <c:pt idx="2">
                  <c:v>Government</c:v>
                </c:pt>
                <c:pt idx="3">
                  <c:v>Public Sector Bodies</c:v>
                </c:pt>
                <c:pt idx="4">
                  <c:v>Higher Education</c:v>
                </c:pt>
                <c:pt idx="5">
                  <c:v>Professional Bodies</c:v>
                </c:pt>
                <c:pt idx="6">
                  <c:v>Think Tanks</c:v>
                </c:pt>
                <c:pt idx="7">
                  <c:v>Equality Bodies</c:v>
                </c:pt>
                <c:pt idx="8">
                  <c:v>Charities</c:v>
                </c:pt>
                <c:pt idx="9">
                  <c:v>Businesses/bodies</c:v>
                </c:pt>
                <c:pt idx="10">
                  <c:v>TOTAL</c:v>
                </c:pt>
              </c:strCache>
            </c:strRef>
          </c:cat>
          <c:val>
            <c:numRef>
              <c:f>Conf!$B$20:$B$30</c:f>
              <c:numCache>
                <c:formatCode>General</c:formatCode>
                <c:ptCount val="11"/>
                <c:pt idx="0">
                  <c:v>23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18</c:v>
                </c:pt>
                <c:pt idx="5">
                  <c:v>1</c:v>
                </c:pt>
                <c:pt idx="6">
                  <c:v>3</c:v>
                </c:pt>
                <c:pt idx="7">
                  <c:v>9</c:v>
                </c:pt>
                <c:pt idx="8">
                  <c:v>0</c:v>
                </c:pt>
                <c:pt idx="10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6642920"/>
        <c:axId val="466643312"/>
      </c:barChart>
      <c:catAx>
        <c:axId val="46664292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466643312"/>
        <c:crosses val="autoZero"/>
        <c:auto val="1"/>
        <c:lblAlgn val="ctr"/>
        <c:lblOffset val="100"/>
        <c:noMultiLvlLbl val="1"/>
      </c:catAx>
      <c:valAx>
        <c:axId val="466643312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466642920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Conf!$A$1:$A$13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Conf!$B$1:$B$13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5710664"/>
        <c:axId val="465709488"/>
      </c:barChart>
      <c:catAx>
        <c:axId val="46571066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465709488"/>
        <c:crosses val="autoZero"/>
        <c:auto val="1"/>
        <c:lblAlgn val="ctr"/>
        <c:lblOffset val="100"/>
        <c:noMultiLvlLbl val="1"/>
      </c:catAx>
      <c:valAx>
        <c:axId val="46570948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465710664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Organisations Invited by Religion or Belief</a:t>
            </a:r>
          </a:p>
        </c:rich>
      </c:tx>
      <c:layout>
        <c:manualLayout>
          <c:xMode val="edge"/>
          <c:yMode val="edge"/>
          <c:x val="0.22197164782714299"/>
          <c:y val="2.03562340966921E-2"/>
        </c:manualLayout>
      </c:layout>
      <c:overlay val="1"/>
    </c:title>
    <c:autoTitleDeleted val="0"/>
    <c:plotArea>
      <c:layout/>
      <c:barChart>
        <c:barDir val="bar"/>
        <c:grouping val="percentStacked"/>
        <c:varyColors val="1"/>
        <c:ser>
          <c:idx val="0"/>
          <c:order val="0"/>
          <c:tx>
            <c:v>Invited</c:v>
          </c:tx>
          <c:invertIfNegative val="1"/>
          <c:dLbls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'Invited totals'!$A$2:$A$14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'Invited totals'!$B$2:$B$14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15</c:v>
                </c:pt>
                <c:pt idx="4">
                  <c:v>4</c:v>
                </c:pt>
                <c:pt idx="5">
                  <c:v>6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10</c:v>
                </c:pt>
              </c:numCache>
            </c:numRef>
          </c:val>
        </c:ser>
        <c:ser>
          <c:idx val="1"/>
          <c:order val="1"/>
          <c:tx>
            <c:v>Declined invitation or didn't respond</c:v>
          </c:tx>
          <c:invertIfNegative val="1"/>
          <c:dLbls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'Declined totals'!$A$1:$A$13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'Declined totals'!$B$1:$B$13</c:f>
              <c:numCache>
                <c:formatCode>General</c:formatCode>
                <c:ptCount val="13"/>
                <c:pt idx="2">
                  <c:v>1</c:v>
                </c:pt>
                <c:pt idx="3">
                  <c:v>7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  <c:pt idx="8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150"/>
        <c:overlap val="100"/>
        <c:axId val="465701472"/>
        <c:axId val="465701864"/>
      </c:barChart>
      <c:valAx>
        <c:axId val="465701864"/>
        <c:scaling>
          <c:orientation val="minMax"/>
        </c:scaling>
        <c:delete val="1"/>
        <c:axPos val="b"/>
        <c:majorGridlines/>
        <c:numFmt formatCode="0%" sourceLinked="1"/>
        <c:majorTickMark val="cross"/>
        <c:minorTickMark val="cross"/>
        <c:tickLblPos val="nextTo"/>
        <c:crossAx val="465701472"/>
        <c:crosses val="autoZero"/>
        <c:crossBetween val="between"/>
      </c:valAx>
      <c:catAx>
        <c:axId val="465701472"/>
        <c:scaling>
          <c:orientation val="minMax"/>
        </c:scaling>
        <c:delete val="1"/>
        <c:axPos val="l"/>
        <c:numFmt formatCode="General" sourceLinked="0"/>
        <c:majorTickMark val="cross"/>
        <c:minorTickMark val="cross"/>
        <c:tickLblPos val="nextTo"/>
        <c:crossAx val="465701864"/>
        <c:crosses val="autoZero"/>
        <c:auto val="1"/>
        <c:lblAlgn val="ctr"/>
        <c:lblOffset val="100"/>
        <c:noMultiLvlLbl val="1"/>
      </c:catAx>
    </c:plotArea>
    <c:legend>
      <c:legendPos val="b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2"/>
  <c:chart>
    <c:autoTitleDeleted val="1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8367346938775E-2"/>
          <c:y val="0.180555555555556"/>
          <c:w val="0.51530612244898"/>
          <c:h val="0.58333333333333304"/>
        </c:manualLayout>
      </c:layout>
      <c:pie3DChart>
        <c:varyColors val="1"/>
        <c:ser>
          <c:idx val="0"/>
          <c:order val="0"/>
          <c:spPr>
            <a:solidFill>
              <a:srgbClr val="3366FF"/>
            </a:solidFill>
            <a:ln w="25400">
              <a:noFill/>
            </a:ln>
          </c:spPr>
          <c:dPt>
            <c:idx val="1"/>
            <c:bubble3D val="0"/>
            <c:spPr>
              <a:solidFill>
                <a:srgbClr val="DD2D32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90713A"/>
              </a:solidFill>
              <a:ln w="25400">
                <a:noFill/>
              </a:ln>
            </c:spPr>
          </c:dPt>
          <c:dPt>
            <c:idx val="3"/>
            <c:bubble3D val="0"/>
            <c:spPr>
              <a:solidFill>
                <a:srgbClr val="666699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33CCCC"/>
              </a:solidFill>
              <a:ln w="25400">
                <a:noFill/>
              </a:ln>
            </c:spPr>
          </c:dPt>
          <c:dPt>
            <c:idx val="5"/>
            <c:bubble3D val="0"/>
            <c:spPr>
              <a:solidFill>
                <a:srgbClr val="FF9900"/>
              </a:solidFill>
              <a:ln w="25400">
                <a:noFill/>
              </a:ln>
            </c:spPr>
          </c:dPt>
          <c:dPt>
            <c:idx val="6"/>
            <c:bubble3D val="0"/>
            <c:spPr>
              <a:solidFill>
                <a:srgbClr val="63AAFE"/>
              </a:solidFill>
              <a:ln w="25400">
                <a:noFill/>
              </a:ln>
            </c:spPr>
          </c:dPt>
          <c:dPt>
            <c:idx val="7"/>
            <c:bubble3D val="0"/>
            <c:spPr>
              <a:solidFill>
                <a:srgbClr val="969696"/>
              </a:solidFill>
              <a:ln w="25400">
                <a:noFill/>
              </a:ln>
            </c:spPr>
          </c:dPt>
          <c:dPt>
            <c:idx val="8"/>
            <c:bubble3D val="0"/>
            <c:spPr>
              <a:solidFill>
                <a:srgbClr val="A2BD90"/>
              </a:solidFill>
              <a:ln w="25400">
                <a:noFill/>
              </a:ln>
            </c:spPr>
          </c:dPt>
          <c:dPt>
            <c:idx val="9"/>
            <c:bubble3D val="0"/>
            <c:spPr>
              <a:solidFill>
                <a:srgbClr val="969696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-0.139100313353688"/>
                  <c:y val="-7.7307888597258706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Religion or Belief (75) Groups; 39%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43058010605818E-2"/>
                  <c:y val="-0.13409230096238001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Trade Unions; (11) 6%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6941386790936903E-2"/>
                  <c:y val="-0.36703412073490799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Government; (15) 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43696770046601"/>
                  <c:y val="-0.11225466608340599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Public Sector Bodies (5); 3%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1020408163265397E-3"/>
                  <c:y val="-7.2892607174103202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Higher Education; (34) 18%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53061224489796E-2"/>
                  <c:y val="-5.2342519685039397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Professional Bodies; (10) 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5510204081632699E-3"/>
                  <c:y val="-9.4334354039078402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Think Tanks; (8) 4%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21582235256307"/>
                  <c:y val="-5.3213764946048403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Equality Bodies; (28) 14%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01710991483207"/>
                  <c:y val="-8.6660104986876596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Charities; (6) 3%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5689578981198798E-2"/>
                  <c:y val="0.12167322834645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Sheet1!$A$27:$A$36</c:f>
              <c:strCache>
                <c:ptCount val="10"/>
                <c:pt idx="0">
                  <c:v>Religion or Belief Groups</c:v>
                </c:pt>
                <c:pt idx="1">
                  <c:v>Trade Unions</c:v>
                </c:pt>
                <c:pt idx="2">
                  <c:v>Government</c:v>
                </c:pt>
                <c:pt idx="3">
                  <c:v>Public Sector Bodies</c:v>
                </c:pt>
                <c:pt idx="4">
                  <c:v>Higher Education</c:v>
                </c:pt>
                <c:pt idx="5">
                  <c:v>Professional Bodies</c:v>
                </c:pt>
                <c:pt idx="6">
                  <c:v>Think Tanks</c:v>
                </c:pt>
                <c:pt idx="7">
                  <c:v>Equality Bodies</c:v>
                </c:pt>
                <c:pt idx="8">
                  <c:v>Charities</c:v>
                </c:pt>
                <c:pt idx="9">
                  <c:v>Businesses/bodies</c:v>
                </c:pt>
              </c:strCache>
            </c:strRef>
          </c:cat>
          <c:val>
            <c:numRef>
              <c:f>Sheet1!$B$27:$B$36</c:f>
              <c:numCache>
                <c:formatCode>General</c:formatCode>
                <c:ptCount val="10"/>
                <c:pt idx="0">
                  <c:v>75</c:v>
                </c:pt>
                <c:pt idx="1">
                  <c:v>11</c:v>
                </c:pt>
                <c:pt idx="2">
                  <c:v>15</c:v>
                </c:pt>
                <c:pt idx="3">
                  <c:v>5</c:v>
                </c:pt>
                <c:pt idx="4">
                  <c:v>34</c:v>
                </c:pt>
                <c:pt idx="5">
                  <c:v>10</c:v>
                </c:pt>
                <c:pt idx="6">
                  <c:v>8</c:v>
                </c:pt>
                <c:pt idx="7">
                  <c:v>28</c:v>
                </c:pt>
                <c:pt idx="8">
                  <c:v>6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622448979591799"/>
          <c:y val="7.4074074074074098E-2"/>
          <c:w val="0.29846938775510201"/>
          <c:h val="0.83333333333333304"/>
        </c:manualLayout>
      </c:layout>
      <c:overlay val="1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Total Invitees by Religion or Belief</a:t>
            </a:r>
          </a:p>
        </c:rich>
      </c:tx>
      <c:layout/>
      <c:overlay val="1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6.5701030510122799E-2"/>
                  <c:y val="-6.754945699507649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Atheism (1)
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Baha'I (2)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2545278967058803E-2"/>
                  <c:y val="1.13929720410230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Buddhism (1)
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Christianity (19)
31%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Judaism (5)
8%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Islam (5)
8%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Humanism (1)
6%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Jain (2)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9.5129923994508698E-4"/>
                  <c:y val="0.12034784672368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Paganism (2)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Sikhism (2)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Secularism (2)
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/>
                      <a:t>Interfaith Orgs/Networks (16)
26%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Sheet1!$A$3:$A$15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Sheet1!$B$3:$B$15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19</c:v>
                </c:pt>
                <c:pt idx="4">
                  <c:v>5</c:v>
                </c:pt>
                <c:pt idx="5">
                  <c:v>5</c:v>
                </c:pt>
                <c:pt idx="6">
                  <c:v>1</c:v>
                </c:pt>
                <c:pt idx="7">
                  <c:v>4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16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layout>
        <c:manualLayout>
          <c:xMode val="edge"/>
          <c:yMode val="edge"/>
          <c:x val="0.67602901794636105"/>
          <c:y val="0.169381107491857"/>
          <c:w val="0.31889483992165901"/>
          <c:h val="0.74539023827233297"/>
        </c:manualLayout>
      </c:layout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2"/>
  <c:chart>
    <c:autoTitleDeleted val="1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941176470588204E-2"/>
          <c:y val="0.188"/>
          <c:w val="0.56705882352941195"/>
          <c:h val="0.6"/>
        </c:manualLayout>
      </c:layout>
      <c:pie3DChart>
        <c:varyColors val="1"/>
        <c:ser>
          <c:idx val="0"/>
          <c:order val="0"/>
          <c:spPr>
            <a:solidFill>
              <a:srgbClr val="3366FF"/>
            </a:solidFill>
            <a:ln w="25400">
              <a:noFill/>
            </a:ln>
          </c:spPr>
          <c:dPt>
            <c:idx val="0"/>
            <c:bubble3D val="0"/>
            <c:spPr>
              <a:solidFill>
                <a:srgbClr val="666699"/>
              </a:solidFill>
              <a:ln w="25400">
                <a:noFill/>
              </a:ln>
            </c:spPr>
          </c:dPt>
          <c:dPt>
            <c:idx val="1"/>
            <c:bubble3D val="0"/>
            <c:spPr>
              <a:solidFill>
                <a:srgbClr val="DD2D32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90713A"/>
              </a:solidFill>
              <a:ln w="25400">
                <a:noFill/>
              </a:ln>
            </c:spPr>
          </c:dPt>
          <c:dPt>
            <c:idx val="3"/>
            <c:bubble3D val="0"/>
            <c:spPr>
              <a:solidFill>
                <a:srgbClr val="666699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33CCCC"/>
              </a:solidFill>
              <a:ln w="25400">
                <a:noFill/>
              </a:ln>
            </c:spPr>
          </c:dPt>
          <c:dPt>
            <c:idx val="5"/>
            <c:bubble3D val="0"/>
            <c:spPr>
              <a:solidFill>
                <a:srgbClr val="FF6600"/>
              </a:solidFill>
              <a:ln w="25400">
                <a:noFill/>
              </a:ln>
            </c:spPr>
          </c:dPt>
          <c:dPt>
            <c:idx val="7"/>
            <c:bubble3D val="0"/>
            <c:spPr>
              <a:solidFill>
                <a:srgbClr val="DD2D32"/>
              </a:solidFill>
              <a:ln w="25400">
                <a:noFill/>
              </a:ln>
            </c:spPr>
          </c:dPt>
          <c:dPt>
            <c:idx val="8"/>
            <c:bubble3D val="0"/>
            <c:spPr>
              <a:solidFill>
                <a:srgbClr val="99CC00"/>
              </a:solidFill>
              <a:ln w="25400">
                <a:noFill/>
              </a:ln>
            </c:spPr>
          </c:dPt>
          <c:dPt>
            <c:idx val="9"/>
            <c:bubble3D val="0"/>
            <c:spPr>
              <a:solidFill>
                <a:srgbClr val="666699"/>
              </a:solidFill>
              <a:ln w="25400">
                <a:noFill/>
              </a:ln>
            </c:spPr>
          </c:dPt>
          <c:dPt>
            <c:idx val="10"/>
            <c:bubble3D val="0"/>
            <c:spPr>
              <a:solidFill>
                <a:srgbClr val="33CCCC"/>
              </a:solidFill>
              <a:ln w="25400">
                <a:noFill/>
              </a:ln>
            </c:spPr>
          </c:dPt>
          <c:dPt>
            <c:idx val="11"/>
            <c:bubble3D val="0"/>
            <c:spPr>
              <a:solidFill>
                <a:srgbClr val="FEA746"/>
              </a:solidFill>
              <a:ln w="25400">
                <a:noFill/>
              </a:ln>
            </c:spPr>
          </c:dPt>
          <c:dPt>
            <c:idx val="12"/>
            <c:bubble3D val="0"/>
            <c:spPr>
              <a:solidFill>
                <a:srgbClr val="99CCFF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-6.8389995368226E-2"/>
                  <c:y val="0.104451023622047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Atheism; (3) 4%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626215840666899E-2"/>
                  <c:y val="8.4314960629921999E-4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Baha'I; (4) 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2727003242241701E-2"/>
                  <c:y val="-0.17427433070866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681445113478501"/>
                  <c:y val="-0.199972283464567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Christianity; (28) 38%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04343307086614"/>
                  <c:y val="-0.333884724409449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Judaism; (1) 1%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0242149143121805E-2"/>
                  <c:y val="-0.115515905511811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Islam; (8) 11%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18062621584067"/>
                  <c:y val="0.1392245669291340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9411764705882301E-2"/>
                  <c:y val="3.34478740157481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Humanism; (11) 15%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48235294117647098"/>
                  <c:y val="0.2831540157480310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1.2920314960629901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Paganism; (4) 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317647058823529"/>
                  <c:y val="0.4568390551181100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4.70588235294117E-3"/>
                  <c:y val="-7.2644724409448802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Secularism; (1) 1%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13590069476609501"/>
                  <c:y val="-3.4438740157480302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Interfaith Orgs/Networks; (15) 20%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Sheet1!$A$4:$A$16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Sheet1!$B$4:$B$16</c:f>
              <c:numCache>
                <c:formatCode>General</c:formatCode>
                <c:ptCount val="13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28</c:v>
                </c:pt>
                <c:pt idx="4">
                  <c:v>1</c:v>
                </c:pt>
                <c:pt idx="5">
                  <c:v>8</c:v>
                </c:pt>
                <c:pt idx="6">
                  <c:v>0</c:v>
                </c:pt>
                <c:pt idx="7">
                  <c:v>11</c:v>
                </c:pt>
                <c:pt idx="8">
                  <c:v>0</c:v>
                </c:pt>
                <c:pt idx="9">
                  <c:v>4</c:v>
                </c:pt>
                <c:pt idx="10">
                  <c:v>0</c:v>
                </c:pt>
                <c:pt idx="11">
                  <c:v>1</c:v>
                </c:pt>
                <c:pt idx="1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823529411764696"/>
          <c:y val="6.8000000000000005E-2"/>
          <c:w val="0.27764705882352902"/>
          <c:h val="0.86399999999999999"/>
        </c:manualLayout>
      </c:layout>
      <c:overlay val="1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2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mbria"/>
                <a:ea typeface="Verdana"/>
                <a:cs typeface="Verdana"/>
              </a:defRPr>
            </a:pPr>
            <a:r>
              <a:rPr lang="en-US">
                <a:latin typeface="Cambria"/>
              </a:rPr>
              <a:t>Participation in Dialogues by Sector</a:t>
            </a:r>
          </a:p>
        </c:rich>
      </c:tx>
      <c:layout>
        <c:manualLayout>
          <c:xMode val="edge"/>
          <c:yMode val="edge"/>
          <c:x val="0.221491524534426"/>
          <c:y val="3.4364376491276299E-2"/>
        </c:manualLayout>
      </c:layout>
      <c:overlay val="1"/>
      <c:spPr>
        <a:noFill/>
        <a:ln w="25400">
          <a:noFill/>
        </a:ln>
      </c:spPr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3421378448725"/>
          <c:y val="0.43642758143921001"/>
          <c:w val="0.245614363840155"/>
          <c:h val="0.24055063543893401"/>
        </c:manualLayout>
      </c:layout>
      <c:pie3DChart>
        <c:varyColors val="1"/>
        <c:ser>
          <c:idx val="0"/>
          <c:order val="0"/>
          <c:spPr>
            <a:solidFill>
              <a:srgbClr val="63AAFE"/>
            </a:solidFill>
            <a:ln w="25400">
              <a:noFill/>
            </a:ln>
            <a:effectLst>
              <a:outerShdw dist="35921" dir="2700000" algn="br">
                <a:srgbClr val="000000"/>
              </a:outerShdw>
            </a:effectLst>
          </c:spPr>
          <c:dPt>
            <c:idx val="1"/>
            <c:bubble3D val="0"/>
            <c:spPr>
              <a:solidFill>
                <a:srgbClr val="DD2D32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2"/>
            <c:bubble3D val="0"/>
            <c:spPr>
              <a:solidFill>
                <a:srgbClr val="FFF58C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3"/>
            <c:bubble3D val="0"/>
            <c:spPr>
              <a:solidFill>
                <a:srgbClr val="4EE257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4"/>
            <c:bubble3D val="0"/>
            <c:spPr>
              <a:solidFill>
                <a:srgbClr val="6711FF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5"/>
            <c:bubble3D val="0"/>
            <c:spPr>
              <a:solidFill>
                <a:srgbClr val="FEA746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6"/>
            <c:bubble3D val="0"/>
            <c:spPr>
              <a:solidFill>
                <a:srgbClr val="865357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7"/>
            <c:bubble3D val="0"/>
            <c:spPr>
              <a:solidFill>
                <a:srgbClr val="A2BD90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8"/>
            <c:bubble3D val="0"/>
            <c:spPr>
              <a:solidFill>
                <a:srgbClr val="00CCFF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Lbls>
            <c:dLbl>
              <c:idx val="0"/>
              <c:layout>
                <c:manualLayout>
                  <c:x val="-0.30443999620529399"/>
                  <c:y val="-0.1644694203003680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Trade Unions;</a:t>
                    </a:r>
                    <a:r>
                      <a:rPr lang="en-US" baseline="0">
                        <a:latin typeface="Cambria"/>
                      </a:rPr>
                      <a:t> (7)</a:t>
                    </a:r>
                    <a:r>
                      <a:rPr lang="en-US">
                        <a:latin typeface="Cambria"/>
                      </a:rPr>
                      <a:t>
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1345318280998"/>
                  <c:y val="-0.1354392490911530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 Government; (12) 
10%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5943648610188799E-2"/>
                  <c:y val="-0.2564725217356140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Public Sector Bodies; (3)
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Higher Education; (14)
11%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Professional Bodies; (9)
7%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Think Tanks;</a:t>
                    </a:r>
                    <a:r>
                      <a:rPr lang="en-US" baseline="0">
                        <a:latin typeface="Cambria"/>
                      </a:rPr>
                      <a:t> (5)</a:t>
                    </a:r>
                    <a:r>
                      <a:rPr lang="en-US">
                        <a:latin typeface="Cambria"/>
                      </a:rPr>
                      <a:t>
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Equality Bodies; (18)
15%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415520349112997E-2"/>
                  <c:y val="2.619244120294789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Charities; (5)
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>
                        <a:latin typeface="Cambria"/>
                      </a:rPr>
                      <a:t>Rel or Belief orgs;</a:t>
                    </a:r>
                    <a:r>
                      <a:rPr lang="en-US" baseline="0">
                        <a:latin typeface="Cambria"/>
                      </a:rPr>
                      <a:t> (51)</a:t>
                    </a:r>
                    <a:r>
                      <a:rPr lang="en-US">
                        <a:latin typeface="Cambria"/>
                      </a:rPr>
                      <a:t>
41%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mbria"/>
                    <a:ea typeface="Verdana"/>
                    <a:cs typeface="Verdana"/>
                  </a:defRPr>
                </a:pPr>
                <a:endParaRPr lang="en-US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'[Dialogues only attendance.xls]Sheet1'!$A$11:$A$19</c:f>
              <c:strCache>
                <c:ptCount val="9"/>
                <c:pt idx="0">
                  <c:v>Trade Unions</c:v>
                </c:pt>
                <c:pt idx="1">
                  <c:v>Government</c:v>
                </c:pt>
                <c:pt idx="2">
                  <c:v>Public Sector Bodies</c:v>
                </c:pt>
                <c:pt idx="3">
                  <c:v>Higher Education</c:v>
                </c:pt>
                <c:pt idx="4">
                  <c:v>Professional Bodies</c:v>
                </c:pt>
                <c:pt idx="5">
                  <c:v>Think Tanks</c:v>
                </c:pt>
                <c:pt idx="6">
                  <c:v>Equality Bodies</c:v>
                </c:pt>
                <c:pt idx="7">
                  <c:v>Charities</c:v>
                </c:pt>
                <c:pt idx="8">
                  <c:v>Rel or Belief orgs</c:v>
                </c:pt>
              </c:strCache>
            </c:strRef>
          </c:cat>
          <c:val>
            <c:numRef>
              <c:f>'[Dialogues only attendance.xls]Sheet1'!$B$11:$B$19</c:f>
              <c:numCache>
                <c:formatCode>General</c:formatCode>
                <c:ptCount val="9"/>
                <c:pt idx="0">
                  <c:v>7</c:v>
                </c:pt>
                <c:pt idx="1">
                  <c:v>12</c:v>
                </c:pt>
                <c:pt idx="2">
                  <c:v>3</c:v>
                </c:pt>
                <c:pt idx="3">
                  <c:v>14</c:v>
                </c:pt>
                <c:pt idx="4">
                  <c:v>9</c:v>
                </c:pt>
                <c:pt idx="5">
                  <c:v>5</c:v>
                </c:pt>
                <c:pt idx="6">
                  <c:v>18</c:v>
                </c:pt>
                <c:pt idx="7">
                  <c:v>5</c:v>
                </c:pt>
                <c:pt idx="8">
                  <c:v>51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368517917188602"/>
          <c:y val="0.212130427863017"/>
          <c:w val="0.26315824697159501"/>
          <c:h val="0.56450437191448699"/>
        </c:manualLayout>
      </c:layout>
      <c:overlay val="1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mbria"/>
              <a:ea typeface="Verdana"/>
              <a:cs typeface="Verdana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Verdana"/>
          <a:ea typeface="Verdana"/>
          <a:cs typeface="Verdana"/>
        </a:defRPr>
      </a:pPr>
      <a:endParaRPr lang="en-US"/>
    </a:p>
  </c:tx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 1'!$A$20:$A$30</c:f>
              <c:strCache>
                <c:ptCount val="11"/>
                <c:pt idx="0">
                  <c:v>Religion or belief Groups</c:v>
                </c:pt>
                <c:pt idx="1">
                  <c:v>Trade Unions</c:v>
                </c:pt>
                <c:pt idx="2">
                  <c:v>Government</c:v>
                </c:pt>
                <c:pt idx="3">
                  <c:v>Public Sector Bodies</c:v>
                </c:pt>
                <c:pt idx="4">
                  <c:v>Higher Education</c:v>
                </c:pt>
                <c:pt idx="5">
                  <c:v>Professional Bodies</c:v>
                </c:pt>
                <c:pt idx="6">
                  <c:v>Think Tanks</c:v>
                </c:pt>
                <c:pt idx="7">
                  <c:v>Equality Bodies</c:v>
                </c:pt>
                <c:pt idx="8">
                  <c:v>Charities</c:v>
                </c:pt>
                <c:pt idx="9">
                  <c:v>Businesses/bodies</c:v>
                </c:pt>
                <c:pt idx="10">
                  <c:v>TOTAL</c:v>
                </c:pt>
              </c:strCache>
            </c:strRef>
          </c:cat>
          <c:val>
            <c:numRef>
              <c:f>'Dia 1'!$B$20:$B$30</c:f>
              <c:numCache>
                <c:formatCode>General</c:formatCode>
                <c:ptCount val="11"/>
                <c:pt idx="0">
                  <c:v>12</c:v>
                </c:pt>
                <c:pt idx="1">
                  <c:v>1</c:v>
                </c:pt>
                <c:pt idx="2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8">
                  <c:v>1</c:v>
                </c:pt>
                <c:pt idx="10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0967552"/>
        <c:axId val="470967944"/>
      </c:barChart>
      <c:catAx>
        <c:axId val="470967552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470967944"/>
        <c:crosses val="autoZero"/>
        <c:auto val="1"/>
        <c:lblAlgn val="ctr"/>
        <c:lblOffset val="100"/>
        <c:noMultiLvlLbl val="1"/>
      </c:catAx>
      <c:valAx>
        <c:axId val="470967944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470967552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 1'!$A$1:$A$13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'Dia 1'!$B$1:$B$13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7243456"/>
        <c:axId val="477243848"/>
      </c:barChart>
      <c:catAx>
        <c:axId val="477243456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477243848"/>
        <c:crosses val="autoZero"/>
        <c:auto val="1"/>
        <c:lblAlgn val="ctr"/>
        <c:lblOffset val="100"/>
        <c:noMultiLvlLbl val="1"/>
      </c:catAx>
      <c:valAx>
        <c:axId val="47724384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477243456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 2'!$A$20:$A$30</c:f>
              <c:strCache>
                <c:ptCount val="11"/>
                <c:pt idx="0">
                  <c:v>Religion or belief Groups</c:v>
                </c:pt>
                <c:pt idx="1">
                  <c:v>Trade Unions</c:v>
                </c:pt>
                <c:pt idx="2">
                  <c:v>Government</c:v>
                </c:pt>
                <c:pt idx="3">
                  <c:v>Public Sector Bodies</c:v>
                </c:pt>
                <c:pt idx="4">
                  <c:v>Higher Education</c:v>
                </c:pt>
                <c:pt idx="5">
                  <c:v>Professional Bodies</c:v>
                </c:pt>
                <c:pt idx="6">
                  <c:v>Think Tanks</c:v>
                </c:pt>
                <c:pt idx="7">
                  <c:v>Equality Bodies</c:v>
                </c:pt>
                <c:pt idx="8">
                  <c:v>Charities</c:v>
                </c:pt>
                <c:pt idx="9">
                  <c:v>Businesses/bodies</c:v>
                </c:pt>
                <c:pt idx="10">
                  <c:v>TOTAL</c:v>
                </c:pt>
              </c:strCache>
            </c:strRef>
          </c:cat>
          <c:val>
            <c:numRef>
              <c:f>'Dia 2'!$B$20:$B$30</c:f>
              <c:numCache>
                <c:formatCode>General</c:formatCode>
                <c:ptCount val="11"/>
                <c:pt idx="0">
                  <c:v>10</c:v>
                </c:pt>
                <c:pt idx="2">
                  <c:v>3</c:v>
                </c:pt>
                <c:pt idx="4">
                  <c:v>2</c:v>
                </c:pt>
                <c:pt idx="5">
                  <c:v>2</c:v>
                </c:pt>
                <c:pt idx="7">
                  <c:v>1</c:v>
                </c:pt>
                <c:pt idx="10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6635600"/>
        <c:axId val="466635992"/>
      </c:barChart>
      <c:catAx>
        <c:axId val="46663560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466635992"/>
        <c:crosses val="autoZero"/>
        <c:auto val="1"/>
        <c:lblAlgn val="ctr"/>
        <c:lblOffset val="100"/>
        <c:noMultiLvlLbl val="1"/>
      </c:catAx>
      <c:valAx>
        <c:axId val="466635992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466635600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18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dLblPos val="ctr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'Dia 2'!$A$1:$A$13</c:f>
              <c:strCache>
                <c:ptCount val="13"/>
                <c:pt idx="0">
                  <c:v>Atheism</c:v>
                </c:pt>
                <c:pt idx="1">
                  <c:v>Baha'I</c:v>
                </c:pt>
                <c:pt idx="2">
                  <c:v>Buddhism</c:v>
                </c:pt>
                <c:pt idx="3">
                  <c:v>Christianity</c:v>
                </c:pt>
                <c:pt idx="4">
                  <c:v>Judaism</c:v>
                </c:pt>
                <c:pt idx="5">
                  <c:v>Islam</c:v>
                </c:pt>
                <c:pt idx="6">
                  <c:v>Hinduism</c:v>
                </c:pt>
                <c:pt idx="7">
                  <c:v>Humanism</c:v>
                </c:pt>
                <c:pt idx="8">
                  <c:v>Jain</c:v>
                </c:pt>
                <c:pt idx="9">
                  <c:v>Paganism</c:v>
                </c:pt>
                <c:pt idx="10">
                  <c:v>Sikhism</c:v>
                </c:pt>
                <c:pt idx="11">
                  <c:v>Secularism</c:v>
                </c:pt>
                <c:pt idx="12">
                  <c:v>Interfaith Orgs/Networks</c:v>
                </c:pt>
              </c:strCache>
            </c:strRef>
          </c:cat>
          <c:val>
            <c:numRef>
              <c:f>'Dia 2'!$B$1:$B$13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9542360"/>
        <c:axId val="469542752"/>
      </c:barChart>
      <c:catAx>
        <c:axId val="46954236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469542752"/>
        <c:crosses val="autoZero"/>
        <c:auto val="1"/>
        <c:lblAlgn val="ctr"/>
        <c:lblOffset val="100"/>
        <c:noMultiLvlLbl val="1"/>
      </c:catAx>
      <c:valAx>
        <c:axId val="469542752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469542360"/>
        <c:crosses val="autoZero"/>
        <c:crossBetween val="between"/>
      </c:valAx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EHRC Programme Summary: Appendix 1: Attendance Analysis</vt:lpstr>
    </vt:vector>
  </TitlesOfParts>
  <Company>Goldsmiths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EHRC Programme Summary: Appendix 1: Attendance Analysis</dc:title>
  <dc:subject/>
  <dc:creator>Martha Shaw</dc:creator>
  <cp:keywords/>
  <cp:lastModifiedBy>Timothy Stacey</cp:lastModifiedBy>
  <cp:revision>2</cp:revision>
  <dcterms:created xsi:type="dcterms:W3CDTF">2016-08-04T12:24:00Z</dcterms:created>
  <dcterms:modified xsi:type="dcterms:W3CDTF">2016-08-04T12:24:00Z</dcterms:modified>
</cp:coreProperties>
</file>